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34"/>
          <w:tab w:val="left" w:pos="1560"/>
          <w:tab w:val="left" w:pos="5670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LISTE COMMUNICATIONS ACCEPTEES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1560"/>
          <w:tab w:val="left" w:pos="5670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superscript"/>
          <w:rtl w:val="0"/>
        </w:rPr>
        <w:t xml:space="preserve">ème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Congrès National de l’ATEMMH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1560"/>
          <w:tab w:val="left" w:pos="5670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13-14 Nocembre 2020 (Mode distantiel)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C1. </w:t>
            </w:r>
          </w:p>
          <w:p w:rsidR="00000000" w:rsidDel="00000000" w:rsidP="00000000" w:rsidRDefault="00000000" w:rsidRPr="00000000" w14:paraId="00000007">
            <w:pPr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Education thérapeutique dans la phénylcétonurie (PCU) : évaluation de l’acceptabilité et de l’utilité d’un support audiovisuel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Zaroui Z, Khatrouch S, Sassi Y, Boudabous H, Kassh R, Abdelmoula M.S, Ben Chehida A, Tebib N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 et Maladies Métaboliques, Hôpital la Rabta, Tunis</w:t>
            </w:r>
          </w:p>
          <w:p w:rsidR="00000000" w:rsidDel="00000000" w:rsidP="00000000" w:rsidRDefault="00000000" w:rsidRPr="00000000" w14:paraId="0000000A">
            <w:pPr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c00000"/>
                  <w:sz w:val="18"/>
                  <w:szCs w:val="18"/>
                  <w:highlight w:val="white"/>
                  <w:u w:val="none"/>
                  <w:rtl w:val="0"/>
                </w:rPr>
                <w:t xml:space="preserve">zaidzaroui16@gmail.com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amel.benchehida75@gmail.com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C2.</w:t>
            </w:r>
          </w:p>
          <w:p w:rsidR="00000000" w:rsidDel="00000000" w:rsidP="00000000" w:rsidRDefault="00000000" w:rsidRPr="00000000" w14:paraId="0000000E">
            <w:pPr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ETUDE GENETIQUE ET MOLECULAIRE DU GENE GAA CHEZ 11 FAMILLES TUNISIENNES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O. Alila-Fersi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Aloulou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H.Boudabbous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Ouerteni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Chabchoub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Kammoun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M. Hachicha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N. Tebib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N. Belguith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F. Fakhfakh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pos="90"/>
                <w:tab w:val="left" w:pos="315"/>
              </w:tabs>
              <w:spacing w:line="240" w:lineRule="auto"/>
              <w:ind w:left="-142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Laboratoire de génétique moléculaire et fonctionnelle, Faculté des sciences de Sfax, Sfax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tabs>
                <w:tab w:val="left" w:pos="225"/>
              </w:tabs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pédiatrie, CHU Hédi Chaker, Sfax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tabs>
                <w:tab w:val="left" w:pos="225"/>
              </w:tabs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pédiatrie, Hôpital Rabta, Tunis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tabs>
                <w:tab w:val="left" w:pos="225"/>
              </w:tabs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d2228"/>
                <w:sz w:val="18"/>
                <w:szCs w:val="18"/>
                <w:highlight w:val="white"/>
                <w:rtl w:val="0"/>
              </w:rPr>
              <w:t xml:space="preserve">ervice des maladies congénitales et héréditaires, EPS Charles Nicolle, Tunis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tabs>
                <w:tab w:val="left" w:pos="225"/>
              </w:tabs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génétique médicale, CHU Hédi Chaker, Sfax</w:t>
            </w:r>
          </w:p>
          <w:p w:rsidR="00000000" w:rsidDel="00000000" w:rsidP="00000000" w:rsidRDefault="00000000" w:rsidRPr="00000000" w14:paraId="00000016">
            <w:pPr>
              <w:tabs>
                <w:tab w:val="left" w:pos="225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alilafersiolfa9@gmail.com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pos="1134"/>
          <w:tab w:val="left" w:pos="1560"/>
          <w:tab w:val="left" w:pos="5670"/>
        </w:tabs>
        <w:spacing w:line="240" w:lineRule="auto"/>
        <w:jc w:val="left"/>
        <w:rPr>
          <w:rFonts w:ascii="Calibri" w:cs="Calibri" w:eastAsia="Calibri" w:hAnsi="Calibri"/>
          <w:b w:val="1"/>
          <w:color w:val="c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134"/>
          <w:tab w:val="left" w:pos="1560"/>
          <w:tab w:val="left" w:pos="5670"/>
        </w:tabs>
        <w:spacing w:line="240" w:lineRule="auto"/>
        <w:jc w:val="left"/>
        <w:rPr>
          <w:rFonts w:ascii="Calibri" w:cs="Calibri" w:eastAsia="Calibri" w:hAnsi="Calibri"/>
          <w:b w:val="1"/>
          <w:color w:val="c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6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trHeight w:val="450" w:hRule="atLeast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C3. </w:t>
            </w:r>
          </w:p>
          <w:p w:rsidR="00000000" w:rsidDel="00000000" w:rsidP="00000000" w:rsidRDefault="00000000" w:rsidRPr="00000000" w14:paraId="0000001A">
            <w:pPr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ETUDE CLINIQUE, BIOLOGIQUE ET GENETIQUE DE LA MALADIE DE WILSON CHEZ DES PATIENTS TUNISIENS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ind w:left="367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Bouricha.M.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Najjar.S.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Abroug.S.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Boughammoura.L.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,GhannouchiJaafoura.N.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Saâd.A.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,Gribaa.M.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</w:tr>
      <w:tr>
        <w:trPr>
          <w:trHeight w:val="1201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left="367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Laboratoire de Cytogénétique, de Génétique Moléculaire et de Biologie de la Reproduction Humaines.Hôpital FarhatHached. Sousse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367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Pédiatrie. HôpitalSahloul. Sousse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367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Pédiatrie.Hôpital FarhatHached. Sousse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367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Médecine Interne. HôpitalFarhatHached. Sousse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367" w:firstLine="0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molka.bouricha@gmail.com</w:t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1134"/>
          <w:tab w:val="left" w:pos="1560"/>
          <w:tab w:val="left" w:pos="5670"/>
        </w:tabs>
        <w:spacing w:line="240" w:lineRule="auto"/>
        <w:jc w:val="left"/>
        <w:rPr>
          <w:rFonts w:ascii="Calibri" w:cs="Calibri" w:eastAsia="Calibri" w:hAnsi="Calibri"/>
          <w:b w:val="1"/>
          <w:color w:val="c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134"/>
          <w:tab w:val="left" w:pos="1560"/>
          <w:tab w:val="left" w:pos="5670"/>
        </w:tabs>
        <w:spacing w:line="240" w:lineRule="auto"/>
        <w:jc w:val="left"/>
        <w:rPr>
          <w:rFonts w:ascii="Calibri" w:cs="Calibri" w:eastAsia="Calibri" w:hAnsi="Calibri"/>
          <w:b w:val="1"/>
          <w:color w:val="c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C4.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MALADIE DE WILSON : ÉTUDE DESCRIPTIVE SUR UNE POPULATION PÉDIATRIQUE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Jemai K, Ben Rhouma H, Kraoua I, Miladi Z, Ben Youness T, Rouissi A, Klaa H,  Ben Youssef-Turki I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 12SP24 et Service de Neurologie de l’Enfant et d l’Adolescent. Institut National MongiBen Hmida de Neurologie de Tunis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khaoula.jemai1@hotmail.com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C5. </w:t>
            </w:r>
          </w:p>
          <w:p w:rsidR="00000000" w:rsidDel="00000000" w:rsidP="00000000" w:rsidRDefault="00000000" w:rsidRPr="00000000" w14:paraId="0000002B">
            <w:pPr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DEVELOPPEMENT D’UN LOGICIEL AUTOMATISE BASE SUR L’INTELLIGENCE ARTIFICIELLE </w:t>
            </w:r>
          </w:p>
          <w:p w:rsidR="00000000" w:rsidDel="00000000" w:rsidP="00000000" w:rsidRDefault="00000000" w:rsidRPr="00000000" w14:paraId="0000002C">
            <w:pPr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POUR LE PHENOTYPAGE FACIAL DU SYNDROME SRD5A3-CDG.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Ikhlas Ben Ayed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1,2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Wael Ouarda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Fatma Kammoun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Amal Souissi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Marein Ben said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Ines Elloumi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Hassen Kammoun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Chahnez Triki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Adel Alimi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Saber Masmoudi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 :  Laboratoire de Procédés de Criblage Moléculaire et Cellulaire, Centre de Biotechnologie de Sfax, Tunisie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 : Service de Génétique Médicale, CHU Hédi Chaker, Sfax, Tunisie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3 :Laboratoire Machines intelligentesReGIM-Lab, Ecole Nationale des ingénieurs, Sfax, Tunisie.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 : Service de Neurologie Pédiatrique, CHU Hédi Chaker- Sfax, Tunisie.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ikhlas.benayed17@gmail.com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3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C6. </w:t>
            </w:r>
          </w:p>
          <w:p w:rsidR="00000000" w:rsidDel="00000000" w:rsidP="00000000" w:rsidRDefault="00000000" w:rsidRPr="00000000" w14:paraId="00000036">
            <w:pPr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DIFFICULTES ET ENJEUX DU DIAGNOSTIC PRENATAL DANS LES MUCOPOLYSACCHARIDOSES EN TUNISIE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S. Skouri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I. Ouertani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S. Karoui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F. Hsoumi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S. Gabetni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M. Trabelsi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H. Boudabous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A. Ben Chehida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F. Maazoul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N. Tebib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R. M’rad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(1) Service des maladies congénitales et héréditaire, Hôpital Charles Nicolle, Tunis, 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(2) Service de Pédiatrie et Maladies Métaboliques, Hôpital la Rabta, Tunis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skourisan@gmail.com</w:t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1134"/>
          <w:tab w:val="left" w:pos="1560"/>
          <w:tab w:val="left" w:pos="567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134"/>
          <w:tab w:val="left" w:pos="1560"/>
          <w:tab w:val="left" w:pos="567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jc w:val="left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aidzaroui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